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11DAB" w14:paraId="27DE762D" w14:textId="77777777">
        <w:tc>
          <w:tcPr>
            <w:tcW w:w="0" w:type="auto"/>
            <w:tcMar>
              <w:top w:w="0" w:type="dxa"/>
              <w:left w:w="270" w:type="dxa"/>
              <w:bottom w:w="135" w:type="dxa"/>
              <w:right w:w="270" w:type="dxa"/>
            </w:tcMar>
            <w:hideMark/>
          </w:tcPr>
          <w:p w14:paraId="59AAFC03" w14:textId="570C0E64" w:rsidR="00E11DAB" w:rsidRDefault="00E11DAB">
            <w:pPr>
              <w:spacing w:line="360" w:lineRule="auto"/>
              <w:rPr>
                <w:rFonts w:ascii="Open Sans" w:hAnsi="Open Sans" w:cs="Open Sans"/>
                <w:color w:val="43404D"/>
                <w:sz w:val="23"/>
                <w:szCs w:val="23"/>
              </w:rPr>
            </w:pPr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t xml:space="preserve">   </w:t>
            </w:r>
          </w:p>
          <w:p w14:paraId="0F92DC74" w14:textId="77777777" w:rsidR="00E11DAB" w:rsidRDefault="00E11DAB">
            <w:pPr>
              <w:pStyle w:val="Heading1"/>
              <w:rPr>
                <w:rFonts w:ascii="Open Sans" w:eastAsia="Times New Roman" w:hAnsi="Open Sans" w:cs="Open Sans"/>
                <w:color w:val="43404D"/>
                <w:sz w:val="48"/>
                <w:szCs w:val="48"/>
              </w:rPr>
            </w:pPr>
            <w:r>
              <w:rPr>
                <w:rFonts w:eastAsia="Times New Roman"/>
              </w:rPr>
              <w:t xml:space="preserve">LTD Seller's Guide from </w:t>
            </w:r>
            <w:proofErr w:type="spellStart"/>
            <w:r>
              <w:rPr>
                <w:rFonts w:eastAsia="Times New Roman"/>
              </w:rPr>
              <w:t>Assurity</w:t>
            </w:r>
            <w:proofErr w:type="spellEnd"/>
          </w:p>
          <w:p w14:paraId="10200E0F" w14:textId="2DBE7DFD" w:rsidR="00E11DAB" w:rsidRDefault="00E11DAB">
            <w:pPr>
              <w:spacing w:line="360" w:lineRule="auto"/>
              <w:rPr>
                <w:rFonts w:ascii="Open Sans" w:hAnsi="Open Sans" w:cs="Open Sans"/>
                <w:color w:val="43404D"/>
                <w:sz w:val="23"/>
                <w:szCs w:val="23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0" wp14:anchorId="799F5466" wp14:editId="5BFDAC0E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905000" cy="1057275"/>
                  <wp:effectExtent l="0" t="0" r="0" b="9525"/>
                  <wp:wrapSquare wrapText="bothSides"/>
                  <wp:docPr id="13974360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t xml:space="preserve">Uncover more qualified prospects and turn long-term disability insurance conversations into closed sales. </w:t>
            </w:r>
            <w:proofErr w:type="spellStart"/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t>Assurity's</w:t>
            </w:r>
            <w:proofErr w:type="spellEnd"/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t xml:space="preserve"> new Seller’s Guide for Income Protection+ is designed to help Advisors: </w:t>
            </w:r>
          </w:p>
          <w:p w14:paraId="38C8069A" w14:textId="77777777" w:rsidR="00E11DAB" w:rsidRDefault="00E11DAB" w:rsidP="004F611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Open Sans" w:eastAsia="Times New Roman" w:hAnsi="Open Sans" w:cs="Open Sans"/>
                <w:color w:val="43404D"/>
                <w:sz w:val="23"/>
                <w:szCs w:val="23"/>
              </w:rPr>
            </w:pPr>
            <w:r>
              <w:rPr>
                <w:rFonts w:ascii="Open Sans" w:eastAsia="Times New Roman" w:hAnsi="Open Sans" w:cs="Open Sans"/>
                <w:color w:val="43404D"/>
                <w:sz w:val="23"/>
                <w:szCs w:val="23"/>
              </w:rPr>
              <w:t>Identify the right prospects in the underserved middle market</w:t>
            </w:r>
          </w:p>
          <w:p w14:paraId="6CB221C7" w14:textId="77777777" w:rsidR="00E11DAB" w:rsidRDefault="00E11DAB" w:rsidP="004F611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Open Sans" w:eastAsia="Times New Roman" w:hAnsi="Open Sans" w:cs="Open Sans"/>
                <w:color w:val="43404D"/>
                <w:sz w:val="23"/>
                <w:szCs w:val="23"/>
              </w:rPr>
            </w:pPr>
            <w:r>
              <w:rPr>
                <w:rFonts w:ascii="Open Sans" w:eastAsia="Times New Roman" w:hAnsi="Open Sans" w:cs="Open Sans"/>
                <w:color w:val="43404D"/>
                <w:sz w:val="23"/>
                <w:szCs w:val="23"/>
              </w:rPr>
              <w:t>Integrate income protection into comprehensive planning conversations</w:t>
            </w:r>
          </w:p>
          <w:p w14:paraId="08C6B559" w14:textId="77777777" w:rsidR="00E11DAB" w:rsidRDefault="00E11DAB" w:rsidP="004F611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Open Sans" w:eastAsia="Times New Roman" w:hAnsi="Open Sans" w:cs="Open Sans"/>
                <w:color w:val="43404D"/>
                <w:sz w:val="23"/>
                <w:szCs w:val="23"/>
              </w:rPr>
            </w:pPr>
            <w:r>
              <w:rPr>
                <w:rFonts w:ascii="Open Sans" w:eastAsia="Times New Roman" w:hAnsi="Open Sans" w:cs="Open Sans"/>
                <w:color w:val="43404D"/>
                <w:sz w:val="23"/>
                <w:szCs w:val="23"/>
              </w:rPr>
              <w:t>Clearly demonstrate the value of coverage</w:t>
            </w:r>
          </w:p>
          <w:p w14:paraId="4A27DA18" w14:textId="77777777" w:rsidR="00E11DAB" w:rsidRDefault="00E11DAB" w:rsidP="004F611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Open Sans" w:eastAsia="Times New Roman" w:hAnsi="Open Sans" w:cs="Open Sans"/>
                <w:color w:val="43404D"/>
                <w:sz w:val="23"/>
                <w:szCs w:val="23"/>
              </w:rPr>
            </w:pPr>
            <w:r>
              <w:rPr>
                <w:rFonts w:ascii="Open Sans" w:eastAsia="Times New Roman" w:hAnsi="Open Sans" w:cs="Open Sans"/>
                <w:color w:val="43404D"/>
                <w:sz w:val="23"/>
                <w:szCs w:val="23"/>
              </w:rPr>
              <w:t>Confidently close more sales</w:t>
            </w:r>
          </w:p>
          <w:p w14:paraId="75E69E7C" w14:textId="77777777" w:rsidR="00E11DAB" w:rsidRDefault="00E11DAB">
            <w:pPr>
              <w:spacing w:line="360" w:lineRule="auto"/>
              <w:rPr>
                <w:rFonts w:ascii="Open Sans" w:hAnsi="Open Sans" w:cs="Open Sans"/>
                <w:color w:val="43404D"/>
                <w:sz w:val="23"/>
                <w:szCs w:val="23"/>
              </w:rPr>
            </w:pPr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t>Whether you’re introducing DI for the first time or expanding existing client relationships, this guide gives you practical strategies to grow your business from a longtime leader in the DI space.</w:t>
            </w:r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br/>
            </w:r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br/>
            </w:r>
            <w:hyperlink r:id="rId6" w:tgtFrame="_blank" w:history="1">
              <w:r>
                <w:rPr>
                  <w:rStyle w:val="Hyperlink"/>
                  <w:color w:val="DE7C00"/>
                  <w:sz w:val="23"/>
                  <w:szCs w:val="23"/>
                </w:rPr>
                <w:t>Get the guide</w:t>
              </w:r>
            </w:hyperlink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t>.</w:t>
            </w:r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br/>
            </w:r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br/>
              <w:t xml:space="preserve">  </w:t>
            </w:r>
          </w:p>
          <w:p w14:paraId="2B5AFE19" w14:textId="77777777" w:rsidR="00E11DAB" w:rsidRDefault="00E11DAB">
            <w:pPr>
              <w:spacing w:line="360" w:lineRule="auto"/>
              <w:jc w:val="center"/>
              <w:rPr>
                <w:rFonts w:ascii="Open Sans" w:eastAsia="Times New Roman" w:hAnsi="Open Sans" w:cs="Open Sans"/>
                <w:color w:val="43404D"/>
                <w:sz w:val="23"/>
                <w:szCs w:val="23"/>
              </w:rPr>
            </w:pPr>
            <w:r>
              <w:rPr>
                <w:rFonts w:ascii="Open Sans" w:eastAsia="Times New Roman" w:hAnsi="Open Sans" w:cs="Open Sans"/>
                <w:color w:val="43404D"/>
                <w:sz w:val="23"/>
                <w:szCs w:val="23"/>
              </w:rPr>
              <w:pict w14:anchorId="716FF8CF">
                <v:rect id="_x0000_i1026" style="width:468pt;height:.5pt" o:hralign="center" o:hrstd="t" o:hr="t" fillcolor="#a0a0a0" stroked="f"/>
              </w:pict>
            </w:r>
          </w:p>
          <w:p w14:paraId="44987572" w14:textId="1EF7BD67" w:rsidR="00E11DAB" w:rsidRPr="00E11DAB" w:rsidRDefault="00E11DAB" w:rsidP="00E11DAB">
            <w:pPr>
              <w:spacing w:line="360" w:lineRule="auto"/>
              <w:rPr>
                <w:rFonts w:ascii="Open Sans" w:hAnsi="Open Sans" w:cs="Open Sans"/>
                <w:color w:val="43404D"/>
                <w:sz w:val="23"/>
                <w:szCs w:val="23"/>
              </w:rPr>
            </w:pPr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t xml:space="preserve">  </w:t>
            </w:r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br/>
            </w:r>
            <w:r>
              <w:rPr>
                <w:rFonts w:ascii="Open Sans" w:hAnsi="Open Sans" w:cs="Open Sans"/>
                <w:color w:val="43404D"/>
                <w:sz w:val="23"/>
                <w:szCs w:val="23"/>
              </w:rPr>
              <w:br/>
              <w:t xml:space="preserve">  </w:t>
            </w:r>
          </w:p>
        </w:tc>
      </w:tr>
    </w:tbl>
    <w:p w14:paraId="109C100B" w14:textId="77777777" w:rsidR="00E11DAB" w:rsidRDefault="00E11DAB"/>
    <w:sectPr w:rsidR="00E11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737DB"/>
    <w:multiLevelType w:val="multilevel"/>
    <w:tmpl w:val="39B8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72196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AB"/>
    <w:rsid w:val="006561D4"/>
    <w:rsid w:val="00E1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2C713D4"/>
  <w15:chartTrackingRefBased/>
  <w15:docId w15:val="{59F32884-06B5-499A-9F74-E7587752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DAB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D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D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D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D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D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D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D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D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D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D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D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D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D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D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D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D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D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D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D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D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11D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.us.m.mimecastprotect.com/s/KnMgC82z75f6zBpZZtRFBIyaUZ1?domain=dibrokerwest.us10.list-manage.com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https://mcusercontent.com/a3a37d024e7aef5a33c8e1ed3/images/73fff800-8c4b-1807-a220-f212db316c55.png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68B675BE654486A9089A3D24D958" ma:contentTypeVersion="12" ma:contentTypeDescription="Create a new document." ma:contentTypeScope="" ma:versionID="134164edfc218b7f3201a5f58f4ff5f9">
  <xsd:schema xmlns:xsd="http://www.w3.org/2001/XMLSchema" xmlns:xs="http://www.w3.org/2001/XMLSchema" xmlns:p="http://schemas.microsoft.com/office/2006/metadata/properties" xmlns:ns2="7d22c65f-6dab-44b5-b531-dd8a5968102d" xmlns:ns3="9a5ed07e-b213-401c-979f-0e9ab07d707b" targetNamespace="http://schemas.microsoft.com/office/2006/metadata/properties" ma:root="true" ma:fieldsID="20fba678c0558a49ba71a21a6d3f5095" ns2:_="" ns3:_="">
    <xsd:import namespace="7d22c65f-6dab-44b5-b531-dd8a5968102d"/>
    <xsd:import namespace="9a5ed07e-b213-401c-979f-0e9ab07d7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2c65f-6dab-44b5-b531-dd8a59681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0105303-de85-4a95-b160-2feadeace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ed07e-b213-401c-979f-0e9ab07d70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28e416-ca73-4975-8f2b-9f4c729affa8}" ma:internalName="TaxCatchAll" ma:showField="CatchAllData" ma:web="9a5ed07e-b213-401c-979f-0e9ab07d7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22c65f-6dab-44b5-b531-dd8a5968102d">
      <Terms xmlns="http://schemas.microsoft.com/office/infopath/2007/PartnerControls"/>
    </lcf76f155ced4ddcb4097134ff3c332f>
    <TaxCatchAll xmlns="9a5ed07e-b213-401c-979f-0e9ab07d707b" xsi:nil="true"/>
  </documentManagement>
</p:properties>
</file>

<file path=customXml/itemProps1.xml><?xml version="1.0" encoding="utf-8"?>
<ds:datastoreItem xmlns:ds="http://schemas.openxmlformats.org/officeDocument/2006/customXml" ds:itemID="{F32620BC-2B1D-41FC-9A25-14CD09850DCD}"/>
</file>

<file path=customXml/itemProps2.xml><?xml version="1.0" encoding="utf-8"?>
<ds:datastoreItem xmlns:ds="http://schemas.openxmlformats.org/officeDocument/2006/customXml" ds:itemID="{491B8887-9E02-4C1F-A3DE-FF002CE8B05B}"/>
</file>

<file path=customXml/itemProps3.xml><?xml version="1.0" encoding="utf-8"?>
<ds:datastoreItem xmlns:ds="http://schemas.openxmlformats.org/officeDocument/2006/customXml" ds:itemID="{048904D0-3AEB-4822-B63A-3BAADD9A41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Klebanow, Howard</dc:creator>
  <cp:keywords/>
  <dc:description/>
  <cp:lastModifiedBy>Klebanow, Howard</cp:lastModifiedBy>
  <cp:revision>1</cp:revision>
  <dcterms:created xsi:type="dcterms:W3CDTF">2026-02-25T15:01:00Z</dcterms:created>
  <dcterms:modified xsi:type="dcterms:W3CDTF">2026-02-25T15:04:00Z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0x010100009C68B675BE654486A9089A3D24D958</vt:lpwstr>
  </property>
</Properties>
</file>